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firstLine="0"/>
        <w:jc w:val="center"/>
        <w:rPr>
          <w:rFonts w:ascii="Arial" w:cs="Arial" w:eastAsia="Arial" w:hAnsi="Arial"/>
          <w:color w:val="365f91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sz w:val="32"/>
          <w:szCs w:val="32"/>
          <w:vertAlign w:val="baseline"/>
          <w:rtl w:val="0"/>
        </w:rPr>
        <w:t xml:space="preserve">SELEÇÃO DE MONITORES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firstLine="0"/>
        <w:jc w:val="center"/>
        <w:rPr>
          <w:rFonts w:ascii="Arial" w:cs="Arial" w:eastAsia="Arial" w:hAnsi="Arial"/>
          <w:color w:val="365f91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sz w:val="32"/>
          <w:szCs w:val="32"/>
          <w:vertAlign w:val="baseline"/>
          <w:rtl w:val="0"/>
        </w:rPr>
        <w:t xml:space="preserve">XII CCHLA CONHECIMENTO EM DEBATE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0" w:firstLine="0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sz w:val="28"/>
          <w:szCs w:val="28"/>
          <w:vertAlign w:val="baseline"/>
          <w:rtl w:val="0"/>
        </w:rPr>
        <w:t xml:space="preserve">Universidade e Construção da Democracia: a soma de todos os tempos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9320"/>
        </w:tabs>
        <w:spacing w:line="276" w:lineRule="auto"/>
        <w:ind w:left="142" w:right="106" w:firstLine="0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9320"/>
        </w:tabs>
        <w:spacing w:line="276" w:lineRule="auto"/>
        <w:ind w:left="142" w:right="106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EDITAL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Comissão Organizadora do XXII CCHLA Conhecimento em Debate 2024 torna públicas as normas e os procedimentos para a seleção de MONITORES destinados a atuarem nas atividades do evento, que será realizado na modalidade presencial no período de 26 a 30 de agosto de 2024, e tem por objetivo promover reflexões e diálogos sobre a temática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E CONSTRUÇÃO DA DEMOCRACIA: A SOMA DE TODOS OS TEMPOS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Art.1º Das disposições preliminares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 Serão destinadas 80 vagas para monitores atuarem nos 3 turnos durante todos os dias do evento;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1.2. Dentre os monitores selecionados, 6 vagas serão destinadas à comissão de divulgação e mídias do evento.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0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 monitores devem ter disponibilidade para atuarem na modalidade presencial nos dias 26, 27, 28, 29 e 30 de agosto de 2024, bem como para participarem das reuniões e atividades preparatórias;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Não haverá pagamento de bolsa ou quaisquer outros tipos de remuneração;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Serão fornecidos certificados de participação de 40h para todos os monitores selecionados;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inscrição do candidato implica conhecimento e aceitação das normas aqui estabelecidas.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Art.2º Da descrição das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Os monitores desenvolverão atividades, na modalidade presencial, junto à Comissão Organizadora do evento, principalmente no que diz respeito ao suporte nos espaços de apresentações, auxiliando os participantes das mesas-redondas, das sessões temáticas, dos minicursos, da apresentação dos banners, das atividades artísticas, dos lançamentos de livros; das atividades de mídia e divulgação de secretaria do evento.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Art.3º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 As inscrições deverão ser feitas via formulário eletrônico disponível em: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u w:val="none"/>
          <w:rtl w:val="0"/>
        </w:rPr>
        <w:t xml:space="preserve">https://forms.gle/uiGjPcjmgSxCjBWg7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período de 08 a 19 de julho de 2024. No formulário, o candidato deverá indicar os turnos em que desejará atuar.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Caso o candidato preencha mais de uma vez o formulário eletrônico, será considerado apenas seu último preenchimento.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Poderão se inscrever alunos dos cursos de graduação e pós graduação do Centro de Ciências Humanas, Letras e Artes da UFPB.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 O candidato selecionado integrará a equipe organizadora e deverá, para fins de emissão do Certificado, também se inscrever como monitor(a) no Sigeventos, por meio de endereço a ser divulgado posteriormente à seleção.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Art.4º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6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6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 Serão selecionados monitores atendendo aos turnos abaixo: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9320"/>
        </w:tabs>
        <w:spacing w:after="0" w:before="0" w:line="276" w:lineRule="auto"/>
        <w:ind w:left="709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turno matutino (08h - 12h);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9320"/>
        </w:tabs>
        <w:spacing w:after="0" w:before="0" w:line="276" w:lineRule="auto"/>
        <w:ind w:left="709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turno vespertino (14h - 18h);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9320"/>
        </w:tabs>
        <w:spacing w:after="0" w:before="0" w:line="276" w:lineRule="auto"/>
        <w:ind w:left="709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turno noturno (19h - 21h).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 Os monitores serão selecionados, entre os inscritos no formulário eletrônico indicado em 3.1, segundo sua ordem de inscrição e disponibilidade de turno.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1º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 candidatos não-selecionados constituirão um banco de reserva de 20% (vinte por cento) das vagas destinadas para a eventual substituição de candidatos selecionados desistentes.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2º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Caso o candidato selecionado não compareça à primeira reunião preparatória, será substituído por candidatos do banco de reserva, respeitando-se também a ordem de inscrição destes últimos.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3º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candidatos que constituírem o banco de reserva deverão também comparecer à primeira reunião preparatória; em não o fazendo, serão também desclassificados.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Art.5º Do resultado da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 A divulgação dos candidatos aptos a participar do XXII CCHLA Conhecimento em Debate 2024 será feita até o dia 26 de julho de 2024, no site do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https://www.cchla.ufpb.br/cchlaemdebate/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Art.6º Das reuniões preparatórias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 Serão realizadas duas reuniões preparatórias a serem agendadas posteriormente.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Poderão ser marcadas outras reuniões, a depender da necessidade de organização do evento.</w:t>
      </w:r>
    </w:p>
    <w:p w:rsidR="00000000" w:rsidDel="00000000" w:rsidP="00000000" w:rsidRDefault="00000000" w:rsidRPr="00000000" w14:paraId="00000044">
      <w:pPr>
        <w:tabs>
          <w:tab w:val="left" w:leader="none" w:pos="9320"/>
        </w:tabs>
        <w:spacing w:line="276" w:lineRule="auto"/>
        <w:ind w:right="10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9320"/>
        </w:tabs>
        <w:spacing w:line="276" w:lineRule="auto"/>
        <w:ind w:right="10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tabs>
          <w:tab w:val="left" w:leader="none" w:pos="9320"/>
        </w:tabs>
        <w:spacing w:line="276" w:lineRule="auto"/>
        <w:ind w:left="142" w:right="106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Art.7º Das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4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 O não-cumprimento, por parte dos monitores, das normas e determinações deliberadas pela Comissão Organizadora resultará na eliminação do monitor das suas funções.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 A não-participação dos selecionados em qualquer das fases do processo implicará sua automática eliminação.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João Pessoa/PB, 28 de junho de 2024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76" w:lineRule="auto"/>
        <w:ind w:left="142" w:right="10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Comissão Organizadora</w:t>
      </w:r>
    </w:p>
    <w:sectPr>
      <w:headerReference r:id="rId8" w:type="default"/>
      <w:footerReference r:id="rId9" w:type="default"/>
      <w:pgSz w:h="16850" w:w="11920" w:orient="portrait"/>
      <w:pgMar w:bottom="1100" w:top="1580" w:left="1276" w:right="1020" w:header="284" w:footer="3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68680" cy="620395"/>
          <wp:effectExtent b="0" l="0" r="0" t="0"/>
          <wp:docPr id="10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680" cy="6203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726055" cy="619760"/>
          <wp:effectExtent b="0" l="0" r="0" t="0"/>
          <wp:docPr id="103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6055" cy="619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0"/>
        <w:tab w:val="left" w:leader="none" w:pos="338"/>
        <w:tab w:val="right" w:leader="none" w:pos="567"/>
        <w:tab w:val="left" w:leader="none" w:pos="851"/>
        <w:tab w:val="left" w:leader="none" w:pos="1134"/>
        <w:tab w:val="center" w:leader="none" w:pos="46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424305" cy="1153160"/>
          <wp:effectExtent b="0" l="0" r="0" t="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4305" cy="1153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32890" cy="1153160"/>
          <wp:effectExtent b="0" l="0" r="0" t="0"/>
          <wp:docPr id="103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2890" cy="1153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424305" cy="1153160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4305" cy="1153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0"/>
        <w:tab w:val="left" w:leader="none" w:pos="338"/>
        <w:tab w:val="right" w:leader="none" w:pos="567"/>
        <w:tab w:val="left" w:leader="none" w:pos="851"/>
        <w:tab w:val="left" w:leader="none" w:pos="1134"/>
        <w:tab w:val="center" w:leader="none" w:pos="46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ind w:left="326"/>
      <w:jc w:val="both"/>
    </w:pPr>
    <w:rPr>
      <w:rFonts w:ascii="Calibri" w:cs="Calibri" w:eastAsia="Calibri" w:hAnsi="Calibri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326" w:leftChars="-1" w:rightChars="0" w:firstLineChars="-1"/>
      <w:jc w:val="both"/>
      <w:textDirection w:val="btLr"/>
      <w:textAlignment w:val="top"/>
      <w:outlineLvl w:val="1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before="120" w:line="1" w:lineRule="atLeast"/>
      <w:ind w:left="1293" w:leftChars="-1" w:rightChars="0" w:hanging="360" w:firstLineChars="-1"/>
      <w:jc w:val="both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PT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chla.ufpb.br/cchlaemdebate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lB1Gtt8Ogd1fimLSzY6RVfSrw==">CgMxLjA4AHIhMVdlclEwbDFyd3N5LTVVNTdBeXh0NjF4YWVkbjhFOXJZ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2024-06-27T11:51:00Z</dcterms:created>
  <dc:creator>SEVENTEC Informática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2020-08-27T00:00:00Z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2024-06-10T00:00:00Z</vt:lpwstr>
  </property>
</Properties>
</file>